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13" w:rsidRDefault="00626D1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Звіт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депутата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фракції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«Слуга народу» за 202</w:t>
      </w:r>
      <w:r w:rsidR="005F0ED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рік</w:t>
      </w:r>
      <w:proofErr w:type="spellEnd"/>
    </w:p>
    <w:p w:rsidR="00C75913" w:rsidRDefault="00626D1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Київської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районної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м. Полтава ради (5 округ)</w:t>
      </w:r>
    </w:p>
    <w:p w:rsidR="00C75913" w:rsidRDefault="00626D1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ЛАГОДИ Романа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Вікторовича</w:t>
      </w:r>
      <w:proofErr w:type="spellEnd"/>
    </w:p>
    <w:p w:rsidR="00C75913" w:rsidRDefault="00626D1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Паспорт 5-го округу: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9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15"/>
      </w:tblGrid>
      <w:tr w:rsidR="00C75913">
        <w:trPr>
          <w:trHeight w:val="210"/>
        </w:trPr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вул.Великотирновська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35/1, 37/1;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вул.Курчатова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16, 18–22А;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пров.Космічний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3, 5, 11А;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пров.Латишева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10;</w:t>
            </w:r>
          </w:p>
        </w:tc>
      </w:tr>
      <w:tr w:rsidR="00C75913"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вул.Великотирновська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31, 31/1;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пров.Латишева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3, 5–9, 11–15;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пров.Хорольський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10–14А;</w:t>
            </w:r>
          </w:p>
        </w:tc>
      </w:tr>
      <w:tr w:rsidR="00C75913"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вул.Великотирновська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39А, 39/91;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вул.Курчатова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8, 12;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вул.Петра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Жданюка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вул.Половки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72, 93–107;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пров.Космічний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2, 4, 6–8;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пров.Половчанський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пров.Хорольський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18;</w:t>
            </w:r>
          </w:p>
        </w:tc>
      </w:tr>
      <w:tr w:rsidR="00C75913"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вул.Великотирновська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33/2, 35/2;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вул.Курчатова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3–3А, 5, 7 к.1–7 к.2, 11, 13, 17;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пров.Латишева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4;</w:t>
            </w:r>
          </w:p>
        </w:tc>
      </w:tr>
      <w:tr w:rsidR="00C75913"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бульв.Нестерова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6, 18–18 к.1;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вул.Гожулівська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18, 20–20А, 24;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вул.Кучеренка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3, 9–9 к.4, 11, 15–49;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вул.Милорадович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Єлизавети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пров.Пробивний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пров.Рудинського</w:t>
            </w:r>
            <w:proofErr w:type="spellEnd"/>
          </w:p>
        </w:tc>
      </w:tr>
      <w:tr w:rsidR="00C75913"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бульв.Нестерова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1–5, 7–9/64В;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вул.Василя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Бучневича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вул.Виноградна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17/2–19, 21, 23/9, 25–25/24, 27–39/17, 41/18, 43, 45–106/11;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вул.Гліба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Котельникова,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вул.Гожулівська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19–19Б, 33, 71–119;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вул.Гостинна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вул.Григорія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Китастого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вул.Заводська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вул.Інженерна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вул.Лавчанська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вул.Марії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Башкирцевої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вул.Можайського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вул.Павла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Горобця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вул.Пестеля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вул.Повстанська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вул.Родини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Симиренків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вул.Славна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вул.Степова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3–3/9, 7, 9, 11;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вул.Супрунівська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вул.Чорноглазівська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вул.Шишацька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пров.Ароматичний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пров.Бригадний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пров.Вечірній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пров.Лавандовий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пров.Метеоритний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пров.Першопрохідців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пров.Променистий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пров.Смирнова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пров.Сніжний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пров.Тюленіна</w:t>
            </w:r>
            <w:proofErr w:type="spellEnd"/>
          </w:p>
        </w:tc>
      </w:tr>
      <w:tr w:rsidR="00C75913"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вул.Агітаційна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вул.Адміністративна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вул.Академіка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Гришка,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вул.Артільна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вул.Балтійська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вул.Бесарабська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вул.Вітрика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вул.Володимира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Степанюка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вул.Генерала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Жадова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вул.Геологічна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вул.Героїв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-партизан,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вул.Зоологічна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вул.Івана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Даценка,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вул.Івана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Шемякіна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вул.Катерини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Скаржинської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вул.Ланова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вул.Листопадна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вул.Лісогірська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вул.Лучниківська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вул.Наукова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вул.Новоселецька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вул.Олімпійська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вул.Перепелина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вул.Петрашева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вул.Реконструктивна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вул.Санжарівська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вул.Ставкова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вул.Степова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4А–6А, 8, 9/2–10/2, 13/1–35;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вул.Текстильна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вул.Тіньова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вул.Фізкультурна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вул.Черкаська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вул.Чумаківська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пров.Азимутний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пров.Амбарний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пров.Археологічний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пров.Бавовняний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пров.Балтійський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пров.Березовий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пров.Бойовий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пров.Борців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пров.Братський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пров.Віри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Роїк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пров.Героїчний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пров.Гороховий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пров.Григорія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Майфета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пров.Дружний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пров.Єрмака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пров.Івана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Липи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пров.Івана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Прийми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пров.Індивідуальний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пров.Казковий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пров.Класичний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пров.Кореспондентський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пров.Ліричний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пров.Метростроївський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пров.Миколи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Лемика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пров.Науковий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пров.Пелюстковий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пров.Поетичний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пров.Польовий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пров.Правденка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пров.Продмашівський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пров.Реконструктивний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пров.Рушниковий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пров.Степний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пров.Фізкультурний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пров.Хіммашівський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пров.Ясний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пров.1-й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Фізкультурний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пров.2-й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Фізкультурний</w:t>
            </w:r>
            <w:proofErr w:type="spellEnd"/>
          </w:p>
        </w:tc>
      </w:tr>
      <w:tr w:rsidR="00C75913">
        <w:tc>
          <w:tcPr>
            <w:tcW w:w="99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</w:tcPr>
          <w:p w:rsidR="00C75913" w:rsidRDefault="00626D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м.Полтава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вул.Маршала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Бірюзова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86–96;</w:t>
            </w:r>
          </w:p>
        </w:tc>
      </w:tr>
    </w:tbl>
    <w:p w:rsidR="00C75913" w:rsidRDefault="00626D1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округ: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розташовані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багатоповерхових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подвір’я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приватного сектору,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дошкільні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професійно-технічні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училища),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торгівельні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913" w:rsidRDefault="00626D1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Є депутатом восьмого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п’ятого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секретарем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5913" w:rsidRDefault="00626D1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рад» я, Лагода Роман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Вікторович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депутат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оприлюднюю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свою роботу по</w:t>
      </w:r>
      <w:r w:rsidR="005F0ED6">
        <w:rPr>
          <w:rFonts w:ascii="Times New Roman" w:eastAsia="Times New Roman" w:hAnsi="Times New Roman" w:cs="Times New Roman"/>
          <w:sz w:val="28"/>
          <w:szCs w:val="28"/>
        </w:rPr>
        <w:t xml:space="preserve"> округу та </w:t>
      </w:r>
      <w:proofErr w:type="spellStart"/>
      <w:r w:rsidR="005F0ED6">
        <w:rPr>
          <w:rFonts w:ascii="Times New Roman" w:eastAsia="Times New Roman" w:hAnsi="Times New Roman" w:cs="Times New Roman"/>
          <w:sz w:val="28"/>
          <w:szCs w:val="28"/>
        </w:rPr>
        <w:t>районній</w:t>
      </w:r>
      <w:proofErr w:type="spellEnd"/>
      <w:r w:rsidR="005F0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ED6"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 w:rsidR="005F0ED6">
        <w:rPr>
          <w:rFonts w:ascii="Times New Roman" w:eastAsia="Times New Roman" w:hAnsi="Times New Roman" w:cs="Times New Roman"/>
          <w:sz w:val="28"/>
          <w:szCs w:val="28"/>
        </w:rPr>
        <w:t xml:space="preserve"> 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913" w:rsidRDefault="00626D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Законом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Законом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рад», Регламентом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нормативними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Входжу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м. Полтава ради</w:t>
      </w:r>
      <w:r w:rsidR="00B6245A">
        <w:rPr>
          <w:rFonts w:ascii="Times New Roman" w:eastAsia="Times New Roman" w:hAnsi="Times New Roman" w:cs="Times New Roman"/>
          <w:sz w:val="28"/>
          <w:szCs w:val="28"/>
        </w:rPr>
        <w:t xml:space="preserve">, є </w:t>
      </w:r>
      <w:proofErr w:type="spellStart"/>
      <w:r w:rsidR="00B6245A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B6245A">
        <w:rPr>
          <w:rFonts w:ascii="Times New Roman" w:eastAsia="Times New Roman" w:hAnsi="Times New Roman" w:cs="Times New Roman"/>
          <w:sz w:val="28"/>
          <w:szCs w:val="28"/>
        </w:rPr>
        <w:t xml:space="preserve"> секретарем, </w:t>
      </w:r>
      <w:proofErr w:type="spellStart"/>
      <w:r w:rsidR="00B6245A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="00B624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6245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B6245A">
        <w:rPr>
          <w:rFonts w:ascii="Times New Roman" w:eastAsia="Times New Roman" w:hAnsi="Times New Roman" w:cs="Times New Roman"/>
          <w:sz w:val="28"/>
          <w:szCs w:val="28"/>
          <w:lang w:val="uk-UA"/>
        </w:rPr>
        <w:t>брав участь в засіданні даної</w:t>
      </w:r>
      <w:r w:rsidR="00B6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245A">
        <w:rPr>
          <w:rFonts w:ascii="Times New Roman" w:eastAsia="Times New Roman" w:hAnsi="Times New Roman" w:cs="Times New Roman"/>
          <w:sz w:val="28"/>
          <w:szCs w:val="28"/>
        </w:rPr>
        <w:t>депутатської</w:t>
      </w:r>
      <w:proofErr w:type="spellEnd"/>
      <w:r w:rsidR="00B6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245A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Беру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сесій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F0ED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районною в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радою станом проводилось </w:t>
      </w:r>
      <w:r w:rsidR="00B6245A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6245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участь.</w:t>
      </w:r>
    </w:p>
    <w:p w:rsidR="00C75913" w:rsidRDefault="00626D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зручності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мобільного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Моя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зручності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проведено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зустрічі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5913" w:rsidRDefault="00626D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звітний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ініційовано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проведено заходи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5913" w:rsidRDefault="00626D1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ремонтів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майданчиків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5913" w:rsidRDefault="00626D1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ліфтового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багатоповерхівок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5913" w:rsidRDefault="00626D1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тротуарів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5913" w:rsidRDefault="00626D1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земляних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будівельних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5913" w:rsidRDefault="00626D1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</w:t>
      </w:r>
      <w:r w:rsidR="00B6245A"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 w:rsidR="00B6245A">
        <w:rPr>
          <w:rFonts w:ascii="Times New Roman" w:eastAsia="Times New Roman" w:hAnsi="Times New Roman" w:cs="Times New Roman"/>
          <w:sz w:val="28"/>
          <w:szCs w:val="28"/>
        </w:rPr>
        <w:t xml:space="preserve">, води, </w:t>
      </w:r>
      <w:proofErr w:type="spellStart"/>
      <w:r w:rsidR="00B6245A">
        <w:rPr>
          <w:rFonts w:ascii="Times New Roman" w:eastAsia="Times New Roman" w:hAnsi="Times New Roman" w:cs="Times New Roman"/>
          <w:sz w:val="28"/>
          <w:szCs w:val="28"/>
        </w:rPr>
        <w:t>вивозу</w:t>
      </w:r>
      <w:proofErr w:type="spellEnd"/>
      <w:r w:rsidR="00B6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245A">
        <w:rPr>
          <w:rFonts w:ascii="Times New Roman" w:eastAsia="Times New Roman" w:hAnsi="Times New Roman" w:cs="Times New Roman"/>
          <w:sz w:val="28"/>
          <w:szCs w:val="28"/>
        </w:rPr>
        <w:t>сміття</w:t>
      </w:r>
      <w:proofErr w:type="spellEnd"/>
      <w:r w:rsidR="00B624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45A" w:rsidRDefault="00B6245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913" w:rsidRDefault="00626D1F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Дякую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913" w:rsidRDefault="00C7591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913" w:rsidRDefault="00C7591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913" w:rsidRDefault="00C75913"/>
    <w:sectPr w:rsidR="00C7591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0293"/>
    <w:multiLevelType w:val="multilevel"/>
    <w:tmpl w:val="E15402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13"/>
    <w:rsid w:val="005F0ED6"/>
    <w:rsid w:val="00626D1F"/>
    <w:rsid w:val="00B6245A"/>
    <w:rsid w:val="00C75913"/>
    <w:rsid w:val="00F0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D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1D7EEA"/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D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1D7EEA"/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VDSYqdFR4PLeTe6QVL1X0xqHQ==">CgMxLjAyCGguZ2pkZ3hzOAByITFZM1VKaTNpUUxJRnZBRExYNjNLTTVkUmdEZmk0Sm9aTQ==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2024-12-24T07:20:00Z</dcterms:created>
  <dcterms:modified xsi:type="dcterms:W3CDTF">2024-12-24T07:20:00Z</dcterms:modified>
</cp:coreProperties>
</file>